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56A6" w14:textId="1805D26E" w:rsidR="00144393" w:rsidRPr="004820E8" w:rsidRDefault="00144393" w:rsidP="00954C5A">
      <w:pPr>
        <w:tabs>
          <w:tab w:val="center" w:pos="5032"/>
        </w:tabs>
        <w:spacing w:before="100" w:beforeAutospacing="1"/>
        <w:rPr>
          <w:rFonts w:cs="Calibri"/>
          <w:b/>
          <w:bCs/>
          <w:color w:val="984806" w:themeColor="accent6" w:themeShade="80"/>
          <w:sz w:val="32"/>
          <w:szCs w:val="32"/>
        </w:rPr>
      </w:pPr>
      <w:r w:rsidRPr="004820E8">
        <w:rPr>
          <w:rFonts w:cs="Calibri"/>
          <w:b/>
          <w:bCs/>
          <w:color w:val="984806" w:themeColor="accent6" w:themeShade="80"/>
          <w:sz w:val="32"/>
          <w:szCs w:val="32"/>
        </w:rPr>
        <w:t>SYNTHESE CHAPITRE 1</w:t>
      </w:r>
      <w:r w:rsidR="00B906C2" w:rsidRPr="004820E8">
        <w:rPr>
          <w:rFonts w:cs="Calibri"/>
          <w:b/>
          <w:bCs/>
          <w:color w:val="984806" w:themeColor="accent6" w:themeShade="80"/>
          <w:sz w:val="32"/>
          <w:szCs w:val="32"/>
        </w:rPr>
        <w:t>1</w:t>
      </w:r>
      <w:r w:rsidRPr="004820E8">
        <w:rPr>
          <w:rFonts w:cs="Calibri"/>
          <w:b/>
          <w:bCs/>
          <w:color w:val="984806" w:themeColor="accent6" w:themeShade="80"/>
          <w:sz w:val="32"/>
          <w:szCs w:val="32"/>
        </w:rPr>
        <w:t xml:space="preserve"> : </w:t>
      </w:r>
      <w:r w:rsidRPr="004820E8">
        <w:rPr>
          <w:rFonts w:cs="Calibri"/>
          <w:b/>
          <w:bCs/>
          <w:color w:val="984806" w:themeColor="accent6" w:themeShade="80"/>
          <w:sz w:val="32"/>
          <w:szCs w:val="32"/>
        </w:rPr>
        <w:tab/>
      </w:r>
    </w:p>
    <w:p w14:paraId="18C8DCF3" w14:textId="1E08ED6E" w:rsidR="00144393" w:rsidRPr="004820E8" w:rsidRDefault="00B906C2" w:rsidP="00CC7AE6">
      <w:pPr>
        <w:rPr>
          <w:rFonts w:cs="Calibri"/>
          <w:b/>
          <w:bCs/>
          <w:color w:val="984806" w:themeColor="accent6" w:themeShade="80"/>
          <w:sz w:val="32"/>
          <w:szCs w:val="32"/>
        </w:rPr>
      </w:pPr>
      <w:r w:rsidRPr="004820E8">
        <w:rPr>
          <w:rFonts w:cs="Calibri"/>
          <w:b/>
          <w:bCs/>
          <w:color w:val="984806" w:themeColor="accent6" w:themeShade="80"/>
          <w:sz w:val="32"/>
          <w:szCs w:val="32"/>
        </w:rPr>
        <w:t>LA COMMUNICATION DE L’ORGANISATION AVEC LES DIFFERENTS ACTEURS</w:t>
      </w:r>
    </w:p>
    <w:p w14:paraId="6BE255BD" w14:textId="1F84CCD6" w:rsidR="00EA1B13" w:rsidRDefault="00D21842" w:rsidP="00EF41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CE904" wp14:editId="42600B7B">
                <wp:simplePos x="0" y="0"/>
                <wp:positionH relativeFrom="margin">
                  <wp:posOffset>-226695</wp:posOffset>
                </wp:positionH>
                <wp:positionV relativeFrom="paragraph">
                  <wp:posOffset>201295</wp:posOffset>
                </wp:positionV>
                <wp:extent cx="6223000" cy="19050"/>
                <wp:effectExtent l="19050" t="38100" r="44450" b="38100"/>
                <wp:wrapNone/>
                <wp:docPr id="2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0" cy="190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99A5F" id="Connecteur droit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15.85pt" to="472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" strokecolor="#974706 [1609]" strokeweight="6pt">
                <v:stroke joinstyle="miter"/>
                <w10:wrap anchorx="margin"/>
              </v:line>
            </w:pict>
          </mc:Fallback>
        </mc:AlternateContent>
      </w:r>
    </w:p>
    <w:p w14:paraId="53DB16B8" w14:textId="77777777" w:rsidR="00EA1B13" w:rsidRDefault="00EA1B13" w:rsidP="00EF41A9"/>
    <w:p w14:paraId="6CD1040E" w14:textId="794BAB4E" w:rsidR="00144393" w:rsidRDefault="00144393" w:rsidP="00EF41A9"/>
    <w:p w14:paraId="29958C9E" w14:textId="2C6672AF" w:rsidR="00144393" w:rsidRDefault="00B906C2" w:rsidP="00930179">
      <w:pPr>
        <w:pStyle w:val="Titre1"/>
      </w:pPr>
      <w:r>
        <w:t>LA COMMUNICATION INTERNE ET EXTERNE</w:t>
      </w:r>
    </w:p>
    <w:p w14:paraId="714A7877" w14:textId="27A721F0" w:rsidR="0043368C" w:rsidRDefault="0043368C" w:rsidP="0043368C">
      <w:pPr>
        <w:pStyle w:val="Titre2"/>
      </w:pPr>
      <w:r>
        <w:t>La communication interne</w:t>
      </w:r>
    </w:p>
    <w:p w14:paraId="4E02FE02" w14:textId="17EB809D" w:rsidR="003970DA" w:rsidRDefault="003970DA" w:rsidP="0043368C">
      <w:pPr>
        <w:rPr>
          <w:rFonts w:eastAsia="Arial Unicode MS" w:cs="Calibri"/>
          <w:color w:val="000000"/>
          <w:sz w:val="22"/>
          <w:shd w:val="clear" w:color="auto" w:fill="FFFFFF"/>
        </w:rPr>
      </w:pPr>
      <w:r>
        <w:t xml:space="preserve">La communication </w:t>
      </w:r>
      <w:r w:rsidRPr="000C4712">
        <w:rPr>
          <w:b/>
          <w:bCs/>
        </w:rPr>
        <w:t>interne</w:t>
      </w:r>
      <w:r>
        <w:t xml:space="preserve"> regroupe l’ensemble des actions de communication réalisées au sein d’une entreprise ou organisation à destination de ses salariés et de ses publics internes</w:t>
      </w:r>
    </w:p>
    <w:p w14:paraId="67C7E294" w14:textId="07AC5C4F" w:rsidR="0043368C" w:rsidRDefault="0043368C" w:rsidP="003970DA">
      <w:pPr>
        <w:pStyle w:val="Titre3"/>
        <w:rPr>
          <w:rFonts w:eastAsia="Arial Unicode MS"/>
          <w:shd w:val="clear" w:color="auto" w:fill="FFFFFF"/>
        </w:rPr>
      </w:pPr>
      <w:r>
        <w:rPr>
          <w:rFonts w:eastAsia="Arial Unicode MS"/>
          <w:shd w:val="clear" w:color="auto" w:fill="FFFFFF"/>
        </w:rPr>
        <w:t>Objectifs</w:t>
      </w:r>
      <w:r w:rsidR="0071152B">
        <w:rPr>
          <w:rFonts w:eastAsia="Arial Unicode MS"/>
          <w:shd w:val="clear" w:color="auto" w:fill="FFFFFF"/>
        </w:rPr>
        <w:t xml:space="preserve"> de la communication externe</w:t>
      </w:r>
      <w:r>
        <w:rPr>
          <w:rFonts w:eastAsia="Arial Unicode MS"/>
          <w:shd w:val="clear" w:color="auto" w:fill="FFFFFF"/>
        </w:rPr>
        <w:t xml:space="preserve"> : </w:t>
      </w:r>
    </w:p>
    <w:p w14:paraId="19764E14" w14:textId="27419A17" w:rsidR="0043368C" w:rsidRPr="0043368C" w:rsidRDefault="000C4712" w:rsidP="000C4712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bookmarkStart w:id="0" w:name="_Hlk29455174"/>
      <w:r>
        <w:rPr>
          <w:rFonts w:cs="Calibri"/>
        </w:rPr>
        <w:t>T</w:t>
      </w:r>
      <w:r w:rsidR="0043368C" w:rsidRPr="0043368C">
        <w:rPr>
          <w:rFonts w:cs="Calibri"/>
        </w:rPr>
        <w:t>ransmettre des informations ;</w:t>
      </w:r>
    </w:p>
    <w:p w14:paraId="6A9E1A6C" w14:textId="000C11E7" w:rsidR="0043368C" w:rsidRPr="0043368C" w:rsidRDefault="000C4712" w:rsidP="000C4712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>
        <w:rPr>
          <w:rFonts w:cs="Calibri"/>
        </w:rPr>
        <w:t>E</w:t>
      </w:r>
      <w:r w:rsidR="0043368C" w:rsidRPr="0043368C">
        <w:rPr>
          <w:rFonts w:cs="Calibri"/>
        </w:rPr>
        <w:t xml:space="preserve">xpliquer </w:t>
      </w:r>
      <w:r>
        <w:rPr>
          <w:rFonts w:cs="Calibri"/>
        </w:rPr>
        <w:t>les grandes orientations stratégiques</w:t>
      </w:r>
      <w:r w:rsidR="0043368C" w:rsidRPr="0043368C">
        <w:rPr>
          <w:rFonts w:cs="Calibri"/>
        </w:rPr>
        <w:t> ;</w:t>
      </w:r>
    </w:p>
    <w:p w14:paraId="4E68942C" w14:textId="7E795F5D" w:rsidR="0043368C" w:rsidRDefault="001772AF" w:rsidP="000C4712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>
        <w:rPr>
          <w:rFonts w:cs="Calibri"/>
        </w:rPr>
        <w:t xml:space="preserve">Valoriser et </w:t>
      </w:r>
      <w:r w:rsidR="0043368C" w:rsidRPr="0043368C">
        <w:rPr>
          <w:rFonts w:cs="Calibri"/>
        </w:rPr>
        <w:t>motiver les collaborateurs ;</w:t>
      </w:r>
    </w:p>
    <w:p w14:paraId="114C7949" w14:textId="71B29491" w:rsidR="001772AF" w:rsidRPr="0043368C" w:rsidRDefault="001772AF" w:rsidP="000C4712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>
        <w:rPr>
          <w:rFonts w:cs="Calibri"/>
        </w:rPr>
        <w:t>Favoriser la coopération et le décloisonnement</w:t>
      </w:r>
    </w:p>
    <w:p w14:paraId="1D094E41" w14:textId="24108694" w:rsidR="0043368C" w:rsidRDefault="000C4712" w:rsidP="000C4712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>
        <w:rPr>
          <w:rFonts w:cs="Calibri"/>
        </w:rPr>
        <w:t>R</w:t>
      </w:r>
      <w:r w:rsidR="0043368C" w:rsidRPr="0043368C">
        <w:rPr>
          <w:rFonts w:cs="Calibri"/>
        </w:rPr>
        <w:t>assembler les acteurs autour d’un projet d’</w:t>
      </w:r>
      <w:bookmarkEnd w:id="0"/>
      <w:r w:rsidR="001772AF">
        <w:rPr>
          <w:rFonts w:cs="Calibri"/>
        </w:rPr>
        <w:t>organisation</w:t>
      </w:r>
      <w:r w:rsidR="0043368C" w:rsidRPr="0043368C">
        <w:rPr>
          <w:rFonts w:cs="Calibri"/>
        </w:rPr>
        <w:t xml:space="preserve"> </w:t>
      </w:r>
    </w:p>
    <w:p w14:paraId="4EC13197" w14:textId="17544AF7" w:rsidR="00AC02E9" w:rsidRPr="000C4712" w:rsidRDefault="000C4712" w:rsidP="000C4712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  <w:szCs w:val="20"/>
        </w:rPr>
      </w:pPr>
      <w:r w:rsidRPr="000C4712">
        <w:rPr>
          <w:rFonts w:eastAsia="Arial Unicode MS" w:cs="Calibri"/>
          <w:color w:val="000000"/>
          <w:szCs w:val="20"/>
          <w:shd w:val="clear" w:color="auto" w:fill="FFFFFF"/>
        </w:rPr>
        <w:t>Faire connaitre les valeurs de l’organisation et créer un sentiment d’appartenance</w:t>
      </w:r>
      <w:r w:rsidR="00AC02E9" w:rsidRPr="000C4712">
        <w:rPr>
          <w:rFonts w:eastAsia="Arial Unicode MS" w:cs="Calibri"/>
          <w:color w:val="000000"/>
          <w:szCs w:val="20"/>
          <w:shd w:val="clear" w:color="auto" w:fill="FFFFFF"/>
        </w:rPr>
        <w:t>.</w:t>
      </w:r>
    </w:p>
    <w:p w14:paraId="48B739EE" w14:textId="481FC51F" w:rsidR="003970DA" w:rsidRDefault="000C4712" w:rsidP="003970DA">
      <w:pPr>
        <w:pStyle w:val="Titre3"/>
        <w:rPr>
          <w:rFonts w:eastAsia="Arial Unicode MS"/>
          <w:shd w:val="clear" w:color="auto" w:fill="FFFFFF"/>
        </w:rPr>
      </w:pPr>
      <w:r>
        <w:rPr>
          <w:rFonts w:eastAsia="Arial Unicode MS"/>
          <w:shd w:val="clear" w:color="auto" w:fill="FFFFFF"/>
        </w:rPr>
        <w:t xml:space="preserve">Les </w:t>
      </w:r>
      <w:r w:rsidR="003970DA">
        <w:rPr>
          <w:rFonts w:eastAsia="Arial Unicode MS"/>
          <w:shd w:val="clear" w:color="auto" w:fill="FFFFFF"/>
        </w:rPr>
        <w:t>Forme</w:t>
      </w:r>
      <w:r>
        <w:rPr>
          <w:rFonts w:eastAsia="Arial Unicode MS"/>
          <w:shd w:val="clear" w:color="auto" w:fill="FFFFFF"/>
        </w:rPr>
        <w:t>s</w:t>
      </w:r>
      <w:r w:rsidR="003970DA">
        <w:rPr>
          <w:rFonts w:eastAsia="Arial Unicode MS"/>
          <w:shd w:val="clear" w:color="auto" w:fill="FFFFFF"/>
        </w:rPr>
        <w:t xml:space="preserve"> de la communication interne</w:t>
      </w:r>
    </w:p>
    <w:p w14:paraId="6618D7E9" w14:textId="77777777" w:rsidR="00CF58C1" w:rsidRPr="000C4712" w:rsidRDefault="00CF58C1" w:rsidP="00CF58C1">
      <w:pPr>
        <w:pStyle w:val="Rponse"/>
        <w:rPr>
          <w:rFonts w:asciiTheme="minorHAnsi" w:hAnsiTheme="minorHAnsi" w:cstheme="minorHAnsi"/>
          <w:sz w:val="20"/>
          <w:szCs w:val="20"/>
        </w:rPr>
      </w:pPr>
      <w:r w:rsidRPr="000C4712">
        <w:rPr>
          <w:rFonts w:asciiTheme="minorHAnsi" w:hAnsiTheme="minorHAnsi" w:cstheme="minorHAnsi"/>
          <w:sz w:val="20"/>
          <w:szCs w:val="20"/>
        </w:rPr>
        <w:t>La communication interne va circuler de différentes façons au sein d’une organisation :</w:t>
      </w:r>
    </w:p>
    <w:p w14:paraId="621FEDCB" w14:textId="28A83D0E" w:rsidR="00CF58C1" w:rsidRPr="000C4712" w:rsidRDefault="000C4712" w:rsidP="000C4712">
      <w:pPr>
        <w:pStyle w:val="Rponse"/>
        <w:numPr>
          <w:ilvl w:val="0"/>
          <w:numId w:val="25"/>
        </w:numPr>
        <w:ind w:left="12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CF58C1" w:rsidRPr="000C4712">
        <w:rPr>
          <w:rFonts w:asciiTheme="minorHAnsi" w:hAnsiTheme="minorHAnsi" w:cstheme="minorHAnsi"/>
          <w:sz w:val="20"/>
          <w:szCs w:val="20"/>
        </w:rPr>
        <w:t>a communication ascendante : du subordonné vers le supérieur (compte rendu de réunion, études, enquêtes, sondages…) ;</w:t>
      </w:r>
    </w:p>
    <w:p w14:paraId="7DF27104" w14:textId="47C2D1C6" w:rsidR="00CF58C1" w:rsidRPr="000C4712" w:rsidRDefault="000C4712" w:rsidP="000C4712">
      <w:pPr>
        <w:pStyle w:val="Rponse"/>
        <w:numPr>
          <w:ilvl w:val="0"/>
          <w:numId w:val="25"/>
        </w:numPr>
        <w:ind w:left="12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CF58C1" w:rsidRPr="000C4712">
        <w:rPr>
          <w:rFonts w:asciiTheme="minorHAnsi" w:hAnsiTheme="minorHAnsi" w:cstheme="minorHAnsi"/>
          <w:sz w:val="20"/>
          <w:szCs w:val="20"/>
        </w:rPr>
        <w:t>a communication descendante : du supérieur vers le subordonné (affichage, plan stratégique, rapport annuel…) ;</w:t>
      </w:r>
    </w:p>
    <w:p w14:paraId="58E69259" w14:textId="484CBC0F" w:rsidR="00CF58C1" w:rsidRDefault="000C4712" w:rsidP="000C4712">
      <w:pPr>
        <w:pStyle w:val="Rponse"/>
        <w:numPr>
          <w:ilvl w:val="0"/>
          <w:numId w:val="25"/>
        </w:numPr>
        <w:ind w:left="12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CF58C1" w:rsidRPr="000C4712">
        <w:rPr>
          <w:rFonts w:asciiTheme="minorHAnsi" w:hAnsiTheme="minorHAnsi" w:cstheme="minorHAnsi"/>
          <w:sz w:val="20"/>
          <w:szCs w:val="20"/>
        </w:rPr>
        <w:t>a communication horizontale : entre des niveaux hiérarchiques équivalents (réunion, communauté de pratique, échanges téléphoniques…).</w:t>
      </w:r>
    </w:p>
    <w:p w14:paraId="42D76F1B" w14:textId="77777777" w:rsidR="00EA1B13" w:rsidRPr="000C4712" w:rsidRDefault="00EA1B13" w:rsidP="00EA1B1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13012440" w14:textId="29D9CFBA" w:rsidR="0043368C" w:rsidRDefault="0043368C" w:rsidP="0043368C">
      <w:pPr>
        <w:pStyle w:val="Titre2"/>
      </w:pPr>
      <w:r>
        <w:t>La communication externe</w:t>
      </w:r>
    </w:p>
    <w:p w14:paraId="175FDFD0" w14:textId="1E88BB38" w:rsidR="003970DA" w:rsidRDefault="003970DA" w:rsidP="0043368C">
      <w:pPr>
        <w:rPr>
          <w:rFonts w:eastAsia="Arial Unicode MS" w:cs="Calibri"/>
          <w:color w:val="000000"/>
          <w:sz w:val="22"/>
          <w:shd w:val="clear" w:color="auto" w:fill="FFFFFF"/>
        </w:rPr>
      </w:pPr>
      <w:r>
        <w:t xml:space="preserve">La communication </w:t>
      </w:r>
      <w:r w:rsidRPr="000C4712">
        <w:rPr>
          <w:b/>
          <w:bCs/>
        </w:rPr>
        <w:t>externe</w:t>
      </w:r>
      <w:r>
        <w:t xml:space="preserve"> regroupe l’ensemble des actions de communication réalisées à destination des publics externes à l’organisation</w:t>
      </w:r>
      <w:r w:rsidR="000C4712">
        <w:t xml:space="preserve"> </w:t>
      </w:r>
      <w:r w:rsidR="000C4712" w:rsidRPr="000C4712">
        <w:rPr>
          <w:rFonts w:eastAsia="Arial Unicode MS" w:cs="Calibri"/>
          <w:color w:val="000000"/>
          <w:szCs w:val="20"/>
          <w:shd w:val="clear" w:color="auto" w:fill="FFFFFF"/>
        </w:rPr>
        <w:t>(clients, des usagers, des partenaires, des fournisseurs, des banques…)</w:t>
      </w:r>
    </w:p>
    <w:p w14:paraId="7F88C7BC" w14:textId="77777777" w:rsidR="003970DA" w:rsidRDefault="003970DA" w:rsidP="0043368C">
      <w:pPr>
        <w:rPr>
          <w:rFonts w:eastAsia="Arial Unicode MS" w:cs="Calibri"/>
          <w:color w:val="000000"/>
          <w:sz w:val="22"/>
          <w:shd w:val="clear" w:color="auto" w:fill="FFFFFF"/>
        </w:rPr>
      </w:pPr>
    </w:p>
    <w:p w14:paraId="48348B3F" w14:textId="541D3EF9" w:rsidR="00AC02E9" w:rsidRPr="000C4712" w:rsidRDefault="00AC02E9" w:rsidP="000C4712">
      <w:pPr>
        <w:pStyle w:val="Titre3"/>
        <w:numPr>
          <w:ilvl w:val="0"/>
          <w:numId w:val="29"/>
        </w:numPr>
        <w:rPr>
          <w:rFonts w:eastAsia="Arial Unicode MS"/>
          <w:shd w:val="clear" w:color="auto" w:fill="FFFFFF"/>
        </w:rPr>
      </w:pPr>
      <w:r w:rsidRPr="000C4712">
        <w:rPr>
          <w:rFonts w:eastAsia="Arial Unicode MS"/>
          <w:shd w:val="clear" w:color="auto" w:fill="FFFFFF"/>
        </w:rPr>
        <w:t>Objectifs </w:t>
      </w:r>
      <w:r w:rsidR="000C4712">
        <w:rPr>
          <w:rFonts w:eastAsia="Arial Unicode MS"/>
          <w:shd w:val="clear" w:color="auto" w:fill="FFFFFF"/>
        </w:rPr>
        <w:t>de la communication externe</w:t>
      </w:r>
    </w:p>
    <w:p w14:paraId="18B651B7" w14:textId="7DCE8BC6" w:rsidR="00433E61" w:rsidRPr="00433E61" w:rsidRDefault="00433E61" w:rsidP="00433E61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 w:rsidRPr="00433E61">
        <w:rPr>
          <w:rFonts w:cs="Calibri"/>
        </w:rPr>
        <w:t>D</w:t>
      </w:r>
      <w:r w:rsidR="005A0C99" w:rsidRPr="00433E61">
        <w:rPr>
          <w:rFonts w:cs="Calibri"/>
        </w:rPr>
        <w:t>évelopper la notoriété de l’organisation ;</w:t>
      </w:r>
    </w:p>
    <w:p w14:paraId="5E3A3A33" w14:textId="45D3A0E5" w:rsidR="00433E61" w:rsidRPr="00433E61" w:rsidRDefault="00433E61" w:rsidP="00433E61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 w:rsidRPr="00433E61">
        <w:rPr>
          <w:rFonts w:cs="Calibri"/>
        </w:rPr>
        <w:t>V</w:t>
      </w:r>
      <w:r w:rsidR="005A0C99" w:rsidRPr="00433E61">
        <w:rPr>
          <w:rFonts w:cs="Calibri"/>
        </w:rPr>
        <w:t>éhiculer l’identité et les valeurs de l’organisation ;</w:t>
      </w:r>
    </w:p>
    <w:p w14:paraId="3C70C4CF" w14:textId="6B7F47B7" w:rsidR="00433E61" w:rsidRPr="00433E61" w:rsidRDefault="00433E61" w:rsidP="00433E61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 w:rsidRPr="00433E61">
        <w:rPr>
          <w:rFonts w:cs="Calibri"/>
        </w:rPr>
        <w:t>C</w:t>
      </w:r>
      <w:r w:rsidR="005A0C99" w:rsidRPr="00433E61">
        <w:rPr>
          <w:rFonts w:cs="Calibri"/>
        </w:rPr>
        <w:t xml:space="preserve">onstruire et développer une image positive de l’organisation ; </w:t>
      </w:r>
    </w:p>
    <w:p w14:paraId="6F7B6B1C" w14:textId="4CEAEC58" w:rsidR="00433E61" w:rsidRPr="00433E61" w:rsidRDefault="00433E61" w:rsidP="00433E61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 w:rsidRPr="00433E61">
        <w:rPr>
          <w:rFonts w:cs="Calibri"/>
        </w:rPr>
        <w:t>S</w:t>
      </w:r>
      <w:r w:rsidR="005A0C99" w:rsidRPr="00433E61">
        <w:rPr>
          <w:rFonts w:cs="Calibri"/>
        </w:rPr>
        <w:t>e distinguer des organisations concurrentes ;</w:t>
      </w:r>
    </w:p>
    <w:p w14:paraId="44EB0185" w14:textId="3839584C" w:rsidR="005A0C99" w:rsidRPr="00433E61" w:rsidRDefault="00433E61" w:rsidP="00433E61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 w:rsidRPr="00433E61">
        <w:rPr>
          <w:rFonts w:cs="Calibri"/>
        </w:rPr>
        <w:t>E</w:t>
      </w:r>
      <w:r w:rsidR="005A0C99" w:rsidRPr="00433E61">
        <w:rPr>
          <w:rFonts w:cs="Calibri"/>
        </w:rPr>
        <w:t>tablir et maintenir des relations avec ses parties prenantes externes.</w:t>
      </w:r>
    </w:p>
    <w:p w14:paraId="78DA5F8D" w14:textId="6C908F71" w:rsidR="00433E61" w:rsidRDefault="00433E61" w:rsidP="0043368C"/>
    <w:p w14:paraId="53F4519E" w14:textId="51253116" w:rsidR="003970DA" w:rsidRDefault="00433E61" w:rsidP="00433E61">
      <w:pPr>
        <w:pStyle w:val="Titre3"/>
      </w:pPr>
      <w:r>
        <w:t>L</w:t>
      </w:r>
      <w:r w:rsidR="003970DA">
        <w:t xml:space="preserve">a communication institutionnelle et </w:t>
      </w:r>
      <w:r>
        <w:t xml:space="preserve">la communication </w:t>
      </w:r>
      <w:r w:rsidR="003970DA">
        <w:t>commerciale</w:t>
      </w:r>
    </w:p>
    <w:p w14:paraId="1D8D296F" w14:textId="45D8BB00" w:rsidR="00FA1780" w:rsidRDefault="00FA1780" w:rsidP="0043368C">
      <w:r>
        <w:t xml:space="preserve">La communication institutionnelle </w:t>
      </w:r>
      <w:r w:rsidR="00433E61">
        <w:t xml:space="preserve">(ou </w:t>
      </w:r>
      <w:proofErr w:type="spellStart"/>
      <w:r w:rsidR="00433E61">
        <w:t>corporate</w:t>
      </w:r>
      <w:proofErr w:type="spellEnd"/>
      <w:r w:rsidR="00433E61">
        <w:t xml:space="preserve">) </w:t>
      </w:r>
      <w:r>
        <w:t xml:space="preserve">consiste à promouvoir l’image d’une organisation auprès de différents publics. </w:t>
      </w:r>
    </w:p>
    <w:p w14:paraId="53FCD426" w14:textId="25638A40" w:rsidR="00FA1780" w:rsidRDefault="00FA1780" w:rsidP="0043368C"/>
    <w:p w14:paraId="76BB87EC" w14:textId="34EA0BEB" w:rsidR="00FA1780" w:rsidRDefault="00FA1780" w:rsidP="0043368C">
      <w:r>
        <w:t xml:space="preserve">La communication commerciale consiste à promouvoir les produits ou services de l’organisation. Elle cible les consommateurs. </w:t>
      </w:r>
    </w:p>
    <w:p w14:paraId="11D807BF" w14:textId="27ADE7E8" w:rsidR="00EA1B13" w:rsidRDefault="00EA1B13" w:rsidP="0043368C">
      <w:r>
        <w:br w:type="page"/>
      </w:r>
    </w:p>
    <w:p w14:paraId="251122D3" w14:textId="0B289C05" w:rsidR="005A0C99" w:rsidRDefault="005A0C99" w:rsidP="005A0C99">
      <w:pPr>
        <w:pStyle w:val="Titre1"/>
      </w:pPr>
      <w:r>
        <w:lastRenderedPageBreak/>
        <w:t>La communication globale et intégrée</w:t>
      </w:r>
    </w:p>
    <w:p w14:paraId="2FF62EF4" w14:textId="5E6E5021" w:rsidR="00770C95" w:rsidRDefault="00770C95" w:rsidP="00770C95">
      <w:pPr>
        <w:pStyle w:val="Titre2"/>
        <w:numPr>
          <w:ilvl w:val="0"/>
          <w:numId w:val="30"/>
        </w:numPr>
      </w:pPr>
      <w:r>
        <w:t>Lien entre communication interne et externe</w:t>
      </w:r>
    </w:p>
    <w:p w14:paraId="0A9EF0EA" w14:textId="77777777" w:rsidR="00770C95" w:rsidRPr="00770C95" w:rsidRDefault="00770C95" w:rsidP="00770C95"/>
    <w:p w14:paraId="1BC2F9D5" w14:textId="67EC2796" w:rsidR="005A0C99" w:rsidRDefault="00CF58C1" w:rsidP="00ED12F4">
      <w:pPr>
        <w:jc w:val="both"/>
      </w:pPr>
      <w:r w:rsidRPr="00CF58C1">
        <w:rPr>
          <w:rFonts w:cs="Calibri"/>
        </w:rPr>
        <w:t>La communication globale consiste à rechercher la cohérence entre les différentes formes de communication de l’entreprise (communication interne, communication externe) et à harmoniser l’ensemble des modes de communication pour atteindre ses objectifs.</w:t>
      </w:r>
    </w:p>
    <w:p w14:paraId="535A73FC" w14:textId="50207026" w:rsidR="00CF58C1" w:rsidRDefault="00CF58C1" w:rsidP="0043368C"/>
    <w:p w14:paraId="077B4756" w14:textId="35053EBB" w:rsidR="00CF58C1" w:rsidRDefault="00C63E65" w:rsidP="0043368C">
      <w:pPr>
        <w:rPr>
          <w:rFonts w:cs="Calibri"/>
        </w:rPr>
      </w:pPr>
      <w:r w:rsidRPr="005A0C99">
        <w:rPr>
          <w:rFonts w:cs="Calibri"/>
        </w:rPr>
        <w:t>L’organisation, par la mise en œuvre d’une communication globale, réduit les contradictions</w:t>
      </w:r>
      <w:r>
        <w:rPr>
          <w:rFonts w:cs="Calibri"/>
        </w:rPr>
        <w:t xml:space="preserve"> et </w:t>
      </w:r>
      <w:r w:rsidRPr="005A0C99">
        <w:rPr>
          <w:rFonts w:cs="Calibri"/>
        </w:rPr>
        <w:t>augmente l’implication de son personnel</w:t>
      </w:r>
    </w:p>
    <w:p w14:paraId="1BADDDBE" w14:textId="77777777" w:rsidR="00ED12F4" w:rsidRPr="00770C95" w:rsidRDefault="00ED12F4" w:rsidP="00ED12F4">
      <w:pPr>
        <w:pStyle w:val="Style"/>
        <w:jc w:val="both"/>
        <w:rPr>
          <w:rFonts w:ascii="Calibri" w:eastAsia="Arial Unicode MS" w:hAnsi="Calibri" w:cs="Calibri"/>
          <w:color w:val="000000"/>
          <w:sz w:val="20"/>
          <w:szCs w:val="20"/>
          <w:shd w:val="clear" w:color="auto" w:fill="FFFFFF"/>
        </w:rPr>
      </w:pPr>
      <w:r w:rsidRPr="00770C95">
        <w:rPr>
          <w:rFonts w:ascii="Calibri" w:eastAsia="Arial Unicode MS" w:hAnsi="Calibri" w:cs="Calibri"/>
          <w:color w:val="000000"/>
          <w:sz w:val="20"/>
          <w:szCs w:val="20"/>
          <w:shd w:val="clear" w:color="auto" w:fill="FFFFFF"/>
        </w:rPr>
        <w:t xml:space="preserve">Le plan de communication réunit les programmes de communication interne et externe de l’organisation qui poursuivent un même but : son développement. Il fixe donc, les objectifs, les messages, les cibles, une stratégie et des moyens d’action. </w:t>
      </w:r>
    </w:p>
    <w:p w14:paraId="254464E0" w14:textId="4BDEB027" w:rsidR="00ED12F4" w:rsidRDefault="00ED12F4" w:rsidP="0043368C">
      <w:pPr>
        <w:rPr>
          <w:rFonts w:cs="Calibri"/>
        </w:rPr>
      </w:pPr>
    </w:p>
    <w:p w14:paraId="3918ACA6" w14:textId="521F9327" w:rsidR="00ED12F4" w:rsidRDefault="00770C95" w:rsidP="00770C95">
      <w:pPr>
        <w:pStyle w:val="Titre2"/>
      </w:pPr>
      <w:r>
        <w:t>Les différents outils de la communication globale et intégrée</w:t>
      </w:r>
    </w:p>
    <w:p w14:paraId="4ED3F98E" w14:textId="4B7E220B" w:rsidR="00ED12F4" w:rsidRPr="005A0C99" w:rsidRDefault="00ED12F4" w:rsidP="00ED12F4">
      <w:pPr>
        <w:jc w:val="both"/>
        <w:rPr>
          <w:rFonts w:cs="Calibri"/>
        </w:rPr>
      </w:pPr>
      <w:bookmarkStart w:id="1" w:name="_MV3TD_PT8H00M00S_62"/>
      <w:bookmarkStart w:id="2" w:name="BRANCH_21"/>
      <w:bookmarkStart w:id="3" w:name="BRANCH_20"/>
      <w:bookmarkStart w:id="4" w:name="_Toc44000116"/>
      <w:bookmarkStart w:id="5" w:name="_MV3BS_20"/>
      <w:bookmarkStart w:id="6" w:name="_MV3BS_21"/>
      <w:bookmarkEnd w:id="1"/>
      <w:r w:rsidRPr="005A0C99">
        <w:rPr>
          <w:rFonts w:cs="Calibri"/>
        </w:rPr>
        <w:t>Les possibilités offertes par les technologies numériques ont profondément modifié la manière dont les organisations appréhendent la communication.</w:t>
      </w:r>
      <w:bookmarkEnd w:id="2"/>
      <w:r w:rsidR="00770C95">
        <w:rPr>
          <w:rFonts w:cs="Calibri"/>
        </w:rPr>
        <w:t xml:space="preserve"> </w:t>
      </w:r>
      <w:r w:rsidR="002977D1">
        <w:rPr>
          <w:rFonts w:cs="Calibri"/>
        </w:rPr>
        <w:t>Elles vont combiner les différents médias numériques et se construire une identité auprès des diverses parties prenantes notamment au travers de :</w:t>
      </w:r>
    </w:p>
    <w:bookmarkEnd w:id="3"/>
    <w:bookmarkEnd w:id="4"/>
    <w:bookmarkEnd w:id="5"/>
    <w:bookmarkEnd w:id="6"/>
    <w:p w14:paraId="087B960C" w14:textId="0838112C" w:rsidR="00CF58C1" w:rsidRDefault="00CF58C1" w:rsidP="0043368C"/>
    <w:p w14:paraId="0087644E" w14:textId="5E142175" w:rsidR="00CF58C1" w:rsidRDefault="00EA1B13" w:rsidP="002977D1">
      <w:pPr>
        <w:pStyle w:val="Rponse"/>
        <w:numPr>
          <w:ilvl w:val="0"/>
          <w:numId w:val="31"/>
        </w:numPr>
        <w:rPr>
          <w:rFonts w:ascii="Calibri" w:eastAsia="Calibri" w:hAnsi="Calibri" w:cs="Calibri"/>
          <w:sz w:val="20"/>
          <w:lang w:eastAsia="en-US"/>
        </w:rPr>
      </w:pPr>
      <w:r>
        <w:rPr>
          <w:rFonts w:ascii="Calibri" w:eastAsia="Calibri" w:hAnsi="Calibri" w:cs="Calibri"/>
          <w:sz w:val="20"/>
          <w:lang w:eastAsia="en-US"/>
        </w:rPr>
        <w:t>S</w:t>
      </w:r>
      <w:r w:rsidR="00CF58C1" w:rsidRPr="002977D1">
        <w:rPr>
          <w:rFonts w:ascii="Calibri" w:eastAsia="Calibri" w:hAnsi="Calibri" w:cs="Calibri"/>
          <w:sz w:val="20"/>
          <w:lang w:eastAsia="en-US"/>
        </w:rPr>
        <w:t xml:space="preserve">a marque employeur : </w:t>
      </w:r>
    </w:p>
    <w:p w14:paraId="20FC6202" w14:textId="17CF5077" w:rsidR="002977D1" w:rsidRDefault="002977D1" w:rsidP="002977D1">
      <w:pPr>
        <w:pStyle w:val="Rponse"/>
        <w:rPr>
          <w:rFonts w:ascii="Calibri" w:eastAsia="Calibri" w:hAnsi="Calibri" w:cs="Calibri"/>
          <w:sz w:val="20"/>
          <w:lang w:eastAsia="en-US"/>
        </w:rPr>
      </w:pPr>
      <w:bookmarkStart w:id="7" w:name="BRANCH_24"/>
      <w:r w:rsidRPr="00352CA0">
        <w:rPr>
          <w:rFonts w:ascii="Calibri" w:eastAsia="Calibri" w:hAnsi="Calibri" w:cs="Calibri"/>
          <w:sz w:val="20"/>
          <w:lang w:eastAsia="en-US"/>
        </w:rPr>
        <w:t>Les organisations adoptent des techniques marketing afin de valoriser leur image auprès de potentiels futurs collaborateurs. La marque employeur est donc un élément à ne plus négliger pour attirer les meilleurs talents</w:t>
      </w:r>
      <w:bookmarkEnd w:id="7"/>
      <w:r w:rsidRPr="00352CA0">
        <w:rPr>
          <w:rFonts w:ascii="Calibri" w:eastAsia="Calibri" w:hAnsi="Calibri" w:cs="Calibri"/>
          <w:sz w:val="20"/>
          <w:lang w:eastAsia="en-US"/>
        </w:rPr>
        <w:t>.</w:t>
      </w:r>
    </w:p>
    <w:p w14:paraId="1ADC7DB5" w14:textId="77777777" w:rsidR="002977D1" w:rsidRPr="002977D1" w:rsidRDefault="002977D1" w:rsidP="002977D1">
      <w:pPr>
        <w:pStyle w:val="Rponse"/>
        <w:rPr>
          <w:rFonts w:ascii="Calibri" w:eastAsia="Calibri" w:hAnsi="Calibri" w:cs="Calibri"/>
          <w:sz w:val="20"/>
          <w:lang w:eastAsia="en-US"/>
        </w:rPr>
      </w:pPr>
    </w:p>
    <w:p w14:paraId="651FB1D1" w14:textId="52057731" w:rsidR="00CF58C1" w:rsidRDefault="00EA1B13" w:rsidP="002977D1">
      <w:pPr>
        <w:pStyle w:val="Rponse"/>
        <w:numPr>
          <w:ilvl w:val="0"/>
          <w:numId w:val="31"/>
        </w:numPr>
        <w:rPr>
          <w:rFonts w:ascii="Calibri" w:eastAsia="Calibri" w:hAnsi="Calibri" w:cs="Calibri"/>
          <w:sz w:val="20"/>
          <w:lang w:eastAsia="en-US"/>
        </w:rPr>
      </w:pPr>
      <w:r>
        <w:rPr>
          <w:rFonts w:ascii="Calibri" w:eastAsia="Calibri" w:hAnsi="Calibri" w:cs="Calibri"/>
          <w:sz w:val="20"/>
          <w:lang w:eastAsia="en-US"/>
        </w:rPr>
        <w:t>S</w:t>
      </w:r>
      <w:r w:rsidR="00CF58C1" w:rsidRPr="002977D1">
        <w:rPr>
          <w:rFonts w:ascii="Calibri" w:eastAsia="Calibri" w:hAnsi="Calibri" w:cs="Calibri"/>
          <w:sz w:val="20"/>
          <w:lang w:eastAsia="en-US"/>
        </w:rPr>
        <w:t>on e-réputation :</w:t>
      </w:r>
    </w:p>
    <w:p w14:paraId="2F479B5A" w14:textId="2E79B2B5" w:rsidR="00352CA0" w:rsidRDefault="00352CA0" w:rsidP="00352CA0">
      <w:pPr>
        <w:pStyle w:val="Rponse"/>
        <w:rPr>
          <w:rFonts w:ascii="Calibri" w:eastAsia="Calibri" w:hAnsi="Calibri" w:cs="Calibri"/>
          <w:sz w:val="20"/>
          <w:lang w:eastAsia="en-US"/>
        </w:rPr>
      </w:pPr>
      <w:r w:rsidRPr="00352CA0">
        <w:rPr>
          <w:rFonts w:ascii="Calibri" w:eastAsia="Calibri" w:hAnsi="Calibri" w:cs="Calibri"/>
          <w:sz w:val="20"/>
          <w:lang w:eastAsia="en-US"/>
        </w:rPr>
        <w:t>L’e-réputation peut être définie comme l’image véhiculée et/ou subie par une organisation ou une marque sur Internet et autres supports numériques</w:t>
      </w:r>
    </w:p>
    <w:p w14:paraId="7D1E75F3" w14:textId="77777777" w:rsidR="00352CA0" w:rsidRPr="002977D1" w:rsidRDefault="00352CA0" w:rsidP="00352CA0">
      <w:pPr>
        <w:pStyle w:val="Rponse"/>
        <w:rPr>
          <w:rFonts w:ascii="Calibri" w:eastAsia="Calibri" w:hAnsi="Calibri" w:cs="Calibri"/>
          <w:sz w:val="20"/>
          <w:lang w:eastAsia="en-US"/>
        </w:rPr>
      </w:pPr>
    </w:p>
    <w:p w14:paraId="0BF58296" w14:textId="27D86D69" w:rsidR="00CF58C1" w:rsidRPr="002977D1" w:rsidRDefault="00EA1B13" w:rsidP="002977D1">
      <w:pPr>
        <w:pStyle w:val="Rponse"/>
        <w:numPr>
          <w:ilvl w:val="0"/>
          <w:numId w:val="31"/>
        </w:numPr>
        <w:rPr>
          <w:rFonts w:ascii="Calibri" w:eastAsia="Calibri" w:hAnsi="Calibri" w:cs="Calibri"/>
          <w:sz w:val="20"/>
          <w:lang w:eastAsia="en-US"/>
        </w:rPr>
      </w:pPr>
      <w:r>
        <w:rPr>
          <w:rFonts w:ascii="Calibri" w:eastAsia="Calibri" w:hAnsi="Calibri" w:cs="Calibri"/>
          <w:sz w:val="20"/>
          <w:lang w:eastAsia="en-US"/>
        </w:rPr>
        <w:t>S</w:t>
      </w:r>
      <w:r w:rsidR="00CF58C1" w:rsidRPr="002977D1">
        <w:rPr>
          <w:rFonts w:ascii="Calibri" w:eastAsia="Calibri" w:hAnsi="Calibri" w:cs="Calibri"/>
          <w:sz w:val="20"/>
          <w:lang w:eastAsia="en-US"/>
        </w:rPr>
        <w:t xml:space="preserve">on identité numérique : </w:t>
      </w:r>
    </w:p>
    <w:p w14:paraId="69F7820A" w14:textId="38D63201" w:rsidR="00CF58C1" w:rsidRPr="002977D1" w:rsidRDefault="00352CA0" w:rsidP="0043368C">
      <w:pPr>
        <w:rPr>
          <w:rFonts w:cs="Calibri"/>
        </w:rPr>
      </w:pPr>
      <w:r w:rsidRPr="00352CA0">
        <w:rPr>
          <w:rFonts w:cs="Calibri"/>
        </w:rPr>
        <w:t xml:space="preserve">L’identité numérique est </w:t>
      </w:r>
      <w:bookmarkStart w:id="8" w:name="_Hlk29456062"/>
      <w:r w:rsidRPr="00352CA0">
        <w:rPr>
          <w:rFonts w:cs="Calibri"/>
        </w:rPr>
        <w:t>l’ensemble des traces numériques qu’une personne ou une organisation laisse sur Internet</w:t>
      </w:r>
      <w:bookmarkEnd w:id="8"/>
      <w:r w:rsidRPr="00352CA0">
        <w:rPr>
          <w:rFonts w:cs="Calibri"/>
        </w:rPr>
        <w:t>. Toutes ces informations, laissées au fil des navigations, sont collectées par les moteurs de recherche, comme Google, et sont rendues publiques</w:t>
      </w:r>
    </w:p>
    <w:sectPr w:rsidR="00CF58C1" w:rsidRPr="002977D1" w:rsidSect="00604C0C">
      <w:headerReference w:type="default" r:id="rId7"/>
      <w:footerReference w:type="default" r:id="rId8"/>
      <w:pgSz w:w="11906" w:h="16838"/>
      <w:pgMar w:top="851" w:right="849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B2B8" w14:textId="77777777" w:rsidR="00377D2F" w:rsidRDefault="00377D2F" w:rsidP="006C1026">
      <w:r>
        <w:separator/>
      </w:r>
    </w:p>
  </w:endnote>
  <w:endnote w:type="continuationSeparator" w:id="0">
    <w:p w14:paraId="436B4990" w14:textId="77777777" w:rsidR="00377D2F" w:rsidRDefault="00377D2F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26F" w14:textId="3BC45D20" w:rsidR="00144393" w:rsidRDefault="00D21842" w:rsidP="00A914A3">
    <w:pPr>
      <w:pStyle w:val="Pieddepage"/>
      <w:rPr>
        <w:color w:val="627B39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EA6CF" wp14:editId="36D80AFC">
              <wp:simplePos x="0" y="0"/>
              <wp:positionH relativeFrom="margin">
                <wp:posOffset>-366395</wp:posOffset>
              </wp:positionH>
              <wp:positionV relativeFrom="page">
                <wp:posOffset>9991725</wp:posOffset>
              </wp:positionV>
              <wp:extent cx="6591300" cy="0"/>
              <wp:effectExtent l="0" t="19050" r="19050" b="19050"/>
              <wp:wrapNone/>
              <wp:docPr id="1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6D601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" strokecolor="#974706 [1609]" strokeweight="3pt">
              <v:stroke joinstyle="miter"/>
              <w10:wrap anchorx="margin" anchory="page"/>
            </v:line>
          </w:pict>
        </mc:Fallback>
      </mc:AlternateContent>
    </w:r>
  </w:p>
  <w:p w14:paraId="728B47FE" w14:textId="77777777" w:rsidR="00144393" w:rsidRDefault="00144393" w:rsidP="00A914A3">
    <w:pPr>
      <w:pStyle w:val="Pieddepage"/>
      <w:rPr>
        <w:color w:val="627B39"/>
        <w:sz w:val="16"/>
        <w:szCs w:val="16"/>
      </w:rPr>
    </w:pPr>
  </w:p>
  <w:p w14:paraId="6455DC26" w14:textId="7A9BCB83" w:rsidR="00144393" w:rsidRPr="00CC7AE6" w:rsidRDefault="00144393" w:rsidP="00A914A3">
    <w:pPr>
      <w:pStyle w:val="Pieddepage"/>
      <w:rPr>
        <w:color w:val="C45911"/>
        <w:sz w:val="16"/>
        <w:szCs w:val="16"/>
      </w:rPr>
    </w:pPr>
    <w:r w:rsidRPr="00EF0693">
      <w:rPr>
        <w:color w:val="984806" w:themeColor="accent6" w:themeShade="80"/>
        <w:sz w:val="16"/>
        <w:szCs w:val="16"/>
      </w:rPr>
      <w:t>Synthèse chapitre 1</w:t>
    </w:r>
    <w:r w:rsidR="00B906C2" w:rsidRPr="00EF0693">
      <w:rPr>
        <w:color w:val="984806" w:themeColor="accent6" w:themeShade="80"/>
        <w:sz w:val="16"/>
        <w:szCs w:val="16"/>
      </w:rPr>
      <w:t>1</w:t>
    </w:r>
    <w:r w:rsidRPr="00EF0693">
      <w:rPr>
        <w:color w:val="984806" w:themeColor="accent6" w:themeShade="80"/>
        <w:sz w:val="16"/>
        <w:szCs w:val="16"/>
      </w:rPr>
      <w:t xml:space="preserve"> : </w:t>
    </w:r>
    <w:r w:rsidR="00B906C2" w:rsidRPr="00EF0693">
      <w:rPr>
        <w:color w:val="984806" w:themeColor="accent6" w:themeShade="80"/>
        <w:sz w:val="16"/>
        <w:szCs w:val="16"/>
      </w:rPr>
      <w:t>La communication de l’organisation avec les différents acteurs</w:t>
    </w:r>
    <w:r w:rsidRPr="00CC7AE6">
      <w:rPr>
        <w:color w:val="C45911"/>
        <w:sz w:val="16"/>
        <w:szCs w:val="16"/>
      </w:rPr>
      <w:tab/>
    </w:r>
    <w:r w:rsidRPr="00CC7AE6">
      <w:rPr>
        <w:color w:val="C45911"/>
        <w:sz w:val="16"/>
        <w:szCs w:val="16"/>
      </w:rPr>
      <w:tab/>
    </w:r>
    <w:r w:rsidRPr="00CC7AE6">
      <w:rPr>
        <w:color w:val="C45911"/>
        <w:sz w:val="16"/>
        <w:szCs w:val="16"/>
      </w:rPr>
      <w:fldChar w:fldCharType="begin"/>
    </w:r>
    <w:r w:rsidRPr="00CC7AE6">
      <w:rPr>
        <w:color w:val="C45911"/>
        <w:sz w:val="16"/>
        <w:szCs w:val="16"/>
      </w:rPr>
      <w:instrText>PAGE   \* MERGEFORMAT</w:instrText>
    </w:r>
    <w:r w:rsidRPr="00CC7AE6">
      <w:rPr>
        <w:color w:val="C45911"/>
        <w:sz w:val="16"/>
        <w:szCs w:val="16"/>
      </w:rPr>
      <w:fldChar w:fldCharType="separate"/>
    </w:r>
    <w:r>
      <w:rPr>
        <w:noProof/>
        <w:color w:val="C45911"/>
        <w:sz w:val="16"/>
        <w:szCs w:val="16"/>
      </w:rPr>
      <w:t>2</w:t>
    </w:r>
    <w:r w:rsidRPr="00CC7AE6">
      <w:rPr>
        <w:color w:val="C4591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6243" w14:textId="77777777" w:rsidR="00377D2F" w:rsidRDefault="00377D2F" w:rsidP="006C1026">
      <w:r>
        <w:separator/>
      </w:r>
    </w:p>
  </w:footnote>
  <w:footnote w:type="continuationSeparator" w:id="0">
    <w:p w14:paraId="6F3B1AE7" w14:textId="77777777" w:rsidR="00377D2F" w:rsidRDefault="00377D2F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0550" w14:textId="77777777" w:rsidR="00144393" w:rsidRPr="00CC7AE6" w:rsidRDefault="00144393" w:rsidP="006C1026">
    <w:pPr>
      <w:pStyle w:val="En-tte"/>
      <w:ind w:left="-851"/>
      <w:rPr>
        <w:b/>
        <w:bCs/>
        <w:color w:val="514A3B"/>
        <w:sz w:val="16"/>
        <w:szCs w:val="16"/>
      </w:rPr>
    </w:pPr>
    <w:proofErr w:type="spellStart"/>
    <w:r w:rsidRPr="00CC7AE6">
      <w:rPr>
        <w:b/>
        <w:bCs/>
        <w:color w:val="514A3B"/>
        <w:sz w:val="16"/>
        <w:szCs w:val="16"/>
      </w:rPr>
      <w:t>MSdGN</w:t>
    </w:r>
    <w:proofErr w:type="spellEnd"/>
    <w:r w:rsidRPr="00CC7AE6">
      <w:rPr>
        <w:b/>
        <w:bCs/>
        <w:color w:val="514A3B"/>
        <w:sz w:val="16"/>
        <w:szCs w:val="16"/>
      </w:rPr>
      <w:t xml:space="preserve"> – </w:t>
    </w:r>
    <w:proofErr w:type="spellStart"/>
    <w:r w:rsidRPr="00CC7AE6">
      <w:rPr>
        <w:b/>
        <w:bCs/>
        <w:color w:val="514A3B"/>
        <w:sz w:val="16"/>
        <w:szCs w:val="16"/>
      </w:rPr>
      <w:t>Term</w:t>
    </w:r>
    <w:proofErr w:type="spellEnd"/>
    <w:r w:rsidRPr="00CC7AE6">
      <w:rPr>
        <w:b/>
        <w:bCs/>
        <w:color w:val="514A3B"/>
        <w:sz w:val="16"/>
        <w:szCs w:val="16"/>
      </w:rPr>
      <w:t xml:space="preserve"> STMG</w:t>
    </w:r>
  </w:p>
  <w:p w14:paraId="12B18F1A" w14:textId="77777777" w:rsidR="00144393" w:rsidRDefault="001443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"/>
      </v:shape>
    </w:pict>
  </w:numPicBullet>
  <w:numPicBullet w:numPicBulletId="1">
    <w:pict>
      <v:shape id="_x0000_i1114" type="#_x0000_t75" style="width:151.5pt;height:141.75pt" o:bullet="t">
        <v:imagedata r:id="rId2" o:title=""/>
      </v:shape>
    </w:pict>
  </w:numPicBullet>
  <w:abstractNum w:abstractNumId="0" w15:restartNumberingAfterBreak="0">
    <w:nsid w:val="0EC718FF"/>
    <w:multiLevelType w:val="hybridMultilevel"/>
    <w:tmpl w:val="26920AA8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A2B274C"/>
    <w:multiLevelType w:val="hybridMultilevel"/>
    <w:tmpl w:val="AC106F62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556C2"/>
    <w:multiLevelType w:val="hybridMultilevel"/>
    <w:tmpl w:val="248A2CDA"/>
    <w:lvl w:ilvl="0" w:tplc="6E509650">
      <w:start w:val="1"/>
      <w:numFmt w:val="bullet"/>
      <w:lvlText w:val=""/>
      <w:lvlJc w:val="left"/>
      <w:rPr>
        <w:rFonts w:ascii="Symbol" w:hAnsi="Symbol" w:hint="default"/>
        <w:color w:val="C459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517B"/>
    <w:multiLevelType w:val="hybridMultilevel"/>
    <w:tmpl w:val="277418EC"/>
    <w:lvl w:ilvl="0" w:tplc="46AE0A16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8B65538"/>
    <w:multiLevelType w:val="hybridMultilevel"/>
    <w:tmpl w:val="241A3D86"/>
    <w:lvl w:ilvl="0" w:tplc="2CE47E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8152A"/>
    <w:multiLevelType w:val="hybridMultilevel"/>
    <w:tmpl w:val="10AC07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250755"/>
    <w:multiLevelType w:val="hybridMultilevel"/>
    <w:tmpl w:val="0BC850FA"/>
    <w:lvl w:ilvl="0" w:tplc="05AC121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49E216B4"/>
    <w:multiLevelType w:val="hybridMultilevel"/>
    <w:tmpl w:val="7D34ABFA"/>
    <w:lvl w:ilvl="0" w:tplc="595EE214">
      <w:start w:val="1"/>
      <w:numFmt w:val="upperLetter"/>
      <w:lvlText w:val="%1."/>
      <w:lvlJc w:val="left"/>
      <w:pPr>
        <w:ind w:left="10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4EA7303F"/>
    <w:multiLevelType w:val="hybridMultilevel"/>
    <w:tmpl w:val="69821C14"/>
    <w:lvl w:ilvl="0" w:tplc="14B258BA">
      <w:start w:val="1"/>
      <w:numFmt w:val="upperLetter"/>
      <w:lvlText w:val="%1."/>
      <w:lvlJc w:val="left"/>
      <w:pPr>
        <w:ind w:left="1060" w:hanging="360"/>
      </w:pPr>
      <w:rPr>
        <w:rFonts w:ascii="Calibri" w:eastAsia="Times New Roman" w:hAnsi="Calibri" w:cs="Times New Roman" w:hint="default"/>
        <w:b/>
        <w:color w:val="92420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 w15:restartNumberingAfterBreak="0">
    <w:nsid w:val="51F27DC9"/>
    <w:multiLevelType w:val="hybridMultilevel"/>
    <w:tmpl w:val="9BB04C26"/>
    <w:lvl w:ilvl="0" w:tplc="1AACA82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92420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84909"/>
    <w:multiLevelType w:val="hybridMultilevel"/>
    <w:tmpl w:val="9AA2A236"/>
    <w:lvl w:ilvl="0" w:tplc="5E9C17FC">
      <w:start w:val="1"/>
      <w:numFmt w:val="upperLetter"/>
      <w:pStyle w:val="Titre2"/>
      <w:lvlText w:val="%1."/>
      <w:lvlJc w:val="left"/>
      <w:pPr>
        <w:ind w:left="1060" w:hanging="360"/>
      </w:pPr>
      <w:rPr>
        <w:rFonts w:ascii="Calibri" w:eastAsia="Times New Roman" w:hAnsi="Calibri" w:cs="Times New Roman" w:hint="default"/>
        <w:b/>
        <w:color w:val="92420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58F75577"/>
    <w:multiLevelType w:val="hybridMultilevel"/>
    <w:tmpl w:val="E9F4C124"/>
    <w:lvl w:ilvl="0" w:tplc="1AACA82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92420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2F3363"/>
    <w:multiLevelType w:val="hybridMultilevel"/>
    <w:tmpl w:val="3DF2F75C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83C24"/>
    <w:multiLevelType w:val="hybridMultilevel"/>
    <w:tmpl w:val="F2C054A0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11F0344"/>
    <w:multiLevelType w:val="hybridMultilevel"/>
    <w:tmpl w:val="0ED44F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56459"/>
    <w:multiLevelType w:val="hybridMultilevel"/>
    <w:tmpl w:val="E43A22F8"/>
    <w:lvl w:ilvl="0" w:tplc="95E034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1F4CD5"/>
    <w:multiLevelType w:val="hybridMultilevel"/>
    <w:tmpl w:val="5AF6FE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18"/>
  </w:num>
  <w:num w:numId="7">
    <w:abstractNumId w:val="2"/>
  </w:num>
  <w:num w:numId="8">
    <w:abstractNumId w:val="6"/>
    <w:lvlOverride w:ilvl="0">
      <w:lvl w:ilvl="0" w:tplc="5A389EA4">
        <w:start w:val="1"/>
        <w:numFmt w:val="decimal"/>
        <w:pStyle w:val="Titre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9">
    <w:abstractNumId w:val="8"/>
  </w:num>
  <w:num w:numId="10">
    <w:abstractNumId w:val="22"/>
  </w:num>
  <w:num w:numId="11">
    <w:abstractNumId w:val="15"/>
  </w:num>
  <w:num w:numId="12">
    <w:abstractNumId w:val="13"/>
  </w:num>
  <w:num w:numId="13">
    <w:abstractNumId w:val="21"/>
  </w:num>
  <w:num w:numId="14">
    <w:abstractNumId w:val="19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2"/>
    </w:lvlOverride>
  </w:num>
  <w:num w:numId="21">
    <w:abstractNumId w:val="14"/>
  </w:num>
  <w:num w:numId="22">
    <w:abstractNumId w:val="14"/>
    <w:lvlOverride w:ilvl="0">
      <w:startOverride w:val="2"/>
    </w:lvlOverride>
  </w:num>
  <w:num w:numId="23">
    <w:abstractNumId w:val="20"/>
  </w:num>
  <w:num w:numId="24">
    <w:abstractNumId w:val="5"/>
  </w:num>
  <w:num w:numId="25">
    <w:abstractNumId w:val="16"/>
  </w:num>
  <w:num w:numId="26">
    <w:abstractNumId w:val="7"/>
  </w:num>
  <w:num w:numId="27">
    <w:abstractNumId w:val="4"/>
  </w:num>
  <w:num w:numId="28">
    <w:abstractNumId w:val="1"/>
  </w:num>
  <w:num w:numId="29">
    <w:abstractNumId w:val="1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79"/>
    <w:rsid w:val="00075142"/>
    <w:rsid w:val="000A0795"/>
    <w:rsid w:val="000C4712"/>
    <w:rsid w:val="001233CB"/>
    <w:rsid w:val="00144393"/>
    <w:rsid w:val="001772AF"/>
    <w:rsid w:val="001D1AA5"/>
    <w:rsid w:val="002977D1"/>
    <w:rsid w:val="003144D4"/>
    <w:rsid w:val="003311A7"/>
    <w:rsid w:val="00352CA0"/>
    <w:rsid w:val="00377D2F"/>
    <w:rsid w:val="003970DA"/>
    <w:rsid w:val="003A461B"/>
    <w:rsid w:val="003D0939"/>
    <w:rsid w:val="004107B4"/>
    <w:rsid w:val="0043368C"/>
    <w:rsid w:val="00433E61"/>
    <w:rsid w:val="004820E8"/>
    <w:rsid w:val="004C14A4"/>
    <w:rsid w:val="004E0D0A"/>
    <w:rsid w:val="005039C5"/>
    <w:rsid w:val="00507A86"/>
    <w:rsid w:val="005A0C99"/>
    <w:rsid w:val="005E1368"/>
    <w:rsid w:val="00604C0C"/>
    <w:rsid w:val="00653A5B"/>
    <w:rsid w:val="006B61CE"/>
    <w:rsid w:val="006C1026"/>
    <w:rsid w:val="0071152B"/>
    <w:rsid w:val="007326C7"/>
    <w:rsid w:val="00734B22"/>
    <w:rsid w:val="00747BDD"/>
    <w:rsid w:val="00770C95"/>
    <w:rsid w:val="007A21BB"/>
    <w:rsid w:val="007B7D83"/>
    <w:rsid w:val="007D1ACC"/>
    <w:rsid w:val="007E0F35"/>
    <w:rsid w:val="008546B5"/>
    <w:rsid w:val="008A5E16"/>
    <w:rsid w:val="009015F7"/>
    <w:rsid w:val="00930179"/>
    <w:rsid w:val="00954C5A"/>
    <w:rsid w:val="00963671"/>
    <w:rsid w:val="009D22A6"/>
    <w:rsid w:val="009E0D16"/>
    <w:rsid w:val="00A17842"/>
    <w:rsid w:val="00A43E35"/>
    <w:rsid w:val="00A914A3"/>
    <w:rsid w:val="00AC02E9"/>
    <w:rsid w:val="00AD0248"/>
    <w:rsid w:val="00B74EBE"/>
    <w:rsid w:val="00B906C2"/>
    <w:rsid w:val="00C3182D"/>
    <w:rsid w:val="00C63E65"/>
    <w:rsid w:val="00C67685"/>
    <w:rsid w:val="00CC1DE8"/>
    <w:rsid w:val="00CC7AE6"/>
    <w:rsid w:val="00CF58C1"/>
    <w:rsid w:val="00CF7AEC"/>
    <w:rsid w:val="00D21842"/>
    <w:rsid w:val="00D654EE"/>
    <w:rsid w:val="00DD0743"/>
    <w:rsid w:val="00DD735A"/>
    <w:rsid w:val="00DF5B9F"/>
    <w:rsid w:val="00DF791D"/>
    <w:rsid w:val="00E20799"/>
    <w:rsid w:val="00E2745D"/>
    <w:rsid w:val="00E92B32"/>
    <w:rsid w:val="00EA1B13"/>
    <w:rsid w:val="00ED12F4"/>
    <w:rsid w:val="00EF0693"/>
    <w:rsid w:val="00EF41A9"/>
    <w:rsid w:val="00F44733"/>
    <w:rsid w:val="00F466E5"/>
    <w:rsid w:val="00FA1780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8A2E1D"/>
  <w15:docId w15:val="{0F6F00FA-AB9F-40BB-A977-D20DBA34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43"/>
    <w:rPr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eastAsia="Times New Roman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3D0939"/>
    <w:pPr>
      <w:keepNext/>
      <w:keepLines/>
      <w:numPr>
        <w:numId w:val="21"/>
      </w:numPr>
      <w:spacing w:before="120" w:after="120"/>
      <w:outlineLvl w:val="1"/>
    </w:pPr>
    <w:rPr>
      <w:rFonts w:eastAsia="Times New Roman"/>
      <w:b/>
      <w:color w:val="92420C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D0939"/>
    <w:pPr>
      <w:keepNext/>
      <w:keepLines/>
      <w:numPr>
        <w:numId w:val="5"/>
      </w:numPr>
      <w:spacing w:before="120" w:after="120"/>
      <w:outlineLvl w:val="2"/>
    </w:pPr>
    <w:rPr>
      <w:rFonts w:eastAsia="Times New Roman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6C1026"/>
    <w:pPr>
      <w:keepNext/>
      <w:keepLines/>
      <w:spacing w:before="120" w:after="120"/>
      <w:ind w:left="737"/>
      <w:outlineLvl w:val="3"/>
    </w:pPr>
    <w:rPr>
      <w:rFonts w:eastAsia="Times New Roman"/>
      <w:b/>
      <w:iCs/>
      <w:color w:val="C4591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92B32"/>
    <w:rPr>
      <w:rFonts w:ascii="Calibri" w:hAnsi="Calibri" w:cs="Times New Roman"/>
      <w:b/>
      <w:caps/>
      <w:color w:val="627B39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9"/>
    <w:locked/>
    <w:rsid w:val="003D0939"/>
    <w:rPr>
      <w:rFonts w:ascii="Calibri" w:hAnsi="Calibri" w:cs="Times New Roman"/>
      <w:b/>
      <w:color w:val="92420C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3D0939"/>
    <w:rPr>
      <w:rFonts w:ascii="Calibri" w:hAnsi="Calibri" w:cs="Times New Roman"/>
      <w:b/>
      <w:color w:val="94896C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locked/>
    <w:rsid w:val="006C1026"/>
    <w:rPr>
      <w:rFonts w:ascii="Calibri" w:hAnsi="Calibri" w:cs="Times New Roman"/>
      <w:b/>
      <w:iCs/>
      <w:color w:val="C45911"/>
      <w:sz w:val="20"/>
    </w:rPr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paragraph" w:customStyle="1" w:styleId="Grandenumration">
    <w:name w:val="Grande énumération"/>
    <w:basedOn w:val="Normal"/>
    <w:uiPriority w:val="99"/>
    <w:rsid w:val="00DF5B9F"/>
    <w:pPr>
      <w:numPr>
        <w:numId w:val="6"/>
      </w:numPr>
      <w:spacing w:before="120"/>
      <w:ind w:left="714" w:hanging="357"/>
    </w:pPr>
  </w:style>
  <w:style w:type="paragraph" w:customStyle="1" w:styleId="Petitenumration">
    <w:name w:val="Petite énumération"/>
    <w:basedOn w:val="Normal"/>
    <w:uiPriority w:val="99"/>
    <w:rsid w:val="00DF5B9F"/>
    <w:pPr>
      <w:numPr>
        <w:numId w:val="7"/>
      </w:numPr>
    </w:pPr>
  </w:style>
  <w:style w:type="paragraph" w:styleId="En-tte">
    <w:name w:val="header"/>
    <w:basedOn w:val="Normal"/>
    <w:link w:val="En-tteCar"/>
    <w:uiPriority w:val="99"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C1026"/>
    <w:rPr>
      <w:rFonts w:cs="Times New Roman"/>
      <w:sz w:val="20"/>
    </w:rPr>
  </w:style>
  <w:style w:type="paragraph" w:styleId="Pieddepage">
    <w:name w:val="footer"/>
    <w:basedOn w:val="Normal"/>
    <w:link w:val="PieddepageCar"/>
    <w:uiPriority w:val="99"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C1026"/>
    <w:rPr>
      <w:rFonts w:cs="Times New Roman"/>
      <w:sz w:val="20"/>
    </w:rPr>
  </w:style>
  <w:style w:type="paragraph" w:customStyle="1" w:styleId="Style">
    <w:name w:val="Style"/>
    <w:rsid w:val="005A0C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ponse">
    <w:name w:val="Réponse"/>
    <w:basedOn w:val="Normal"/>
    <w:qFormat/>
    <w:rsid w:val="00CF58C1"/>
    <w:pPr>
      <w:jc w:val="both"/>
    </w:pPr>
    <w:rPr>
      <w:rFonts w:ascii="Times New Roman" w:eastAsia="Times New Roman" w:hAnsi="Times New Roman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Documents\Mod&#232;les%20Office%20personnalis&#233;s\mod&#232;le%20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914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4</cp:revision>
  <cp:lastPrinted>2021-05-10T11:12:00Z</cp:lastPrinted>
  <dcterms:created xsi:type="dcterms:W3CDTF">2022-01-17T06:54:00Z</dcterms:created>
  <dcterms:modified xsi:type="dcterms:W3CDTF">2022-03-30T11:57:00Z</dcterms:modified>
</cp:coreProperties>
</file>